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 w:rsidR="008C3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9E1B5D">
        <w:rPr>
          <w:sz w:val="24"/>
          <w:szCs w:val="24"/>
        </w:rPr>
        <w:t>2</w:t>
      </w:r>
      <w:r w:rsidR="00CA780B">
        <w:rPr>
          <w:sz w:val="24"/>
          <w:szCs w:val="24"/>
        </w:rPr>
        <w:t>3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CA780B">
        <w:rPr>
          <w:spacing w:val="2"/>
        </w:rPr>
        <w:t>24</w:t>
      </w:r>
      <w:r w:rsidR="005639FC">
        <w:rPr>
          <w:spacing w:val="2"/>
        </w:rPr>
        <w:t xml:space="preserve"> ию</w:t>
      </w:r>
      <w:r w:rsidR="009E1B5D">
        <w:rPr>
          <w:spacing w:val="2"/>
        </w:rPr>
        <w:t>л</w:t>
      </w:r>
      <w:r w:rsidR="005639FC">
        <w:rPr>
          <w:spacing w:val="2"/>
        </w:rPr>
        <w:t>я</w:t>
      </w:r>
      <w:r w:rsidRPr="00AF0FB2">
        <w:rPr>
          <w:spacing w:val="2"/>
        </w:rPr>
        <w:t xml:space="preserve"> по</w:t>
      </w:r>
      <w:r w:rsidR="00426405">
        <w:rPr>
          <w:spacing w:val="2"/>
        </w:rPr>
        <w:t xml:space="preserve"> </w:t>
      </w:r>
      <w:r w:rsidR="00CA780B">
        <w:rPr>
          <w:spacing w:val="2"/>
        </w:rPr>
        <w:t>31</w:t>
      </w:r>
      <w:r w:rsidR="006D06C6">
        <w:rPr>
          <w:spacing w:val="2"/>
        </w:rPr>
        <w:t xml:space="preserve"> ию</w:t>
      </w:r>
      <w:r w:rsidR="00426405">
        <w:rPr>
          <w:spacing w:val="2"/>
        </w:rPr>
        <w:t>л</w:t>
      </w:r>
      <w:r w:rsidR="006D06C6">
        <w:rPr>
          <w:spacing w:val="2"/>
        </w:rPr>
        <w:t>я</w:t>
      </w:r>
      <w:r w:rsidR="003F05E0">
        <w:rPr>
          <w:spacing w:val="2"/>
        </w:rPr>
        <w:t xml:space="preserve"> </w:t>
      </w:r>
      <w:r w:rsidRPr="00AF0FB2">
        <w:rPr>
          <w:spacing w:val="2"/>
        </w:rPr>
        <w:t xml:space="preserve"> ,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«__</w:t>
      </w:r>
      <w:r w:rsidR="00CA780B">
        <w:rPr>
          <w:spacing w:val="2"/>
        </w:rPr>
        <w:t>31</w:t>
      </w:r>
      <w:r w:rsidRPr="00AF0FB2">
        <w:rPr>
          <w:spacing w:val="2"/>
        </w:rPr>
        <w:t xml:space="preserve">_»  </w:t>
      </w:r>
      <w:r w:rsidR="006D06C6">
        <w:rPr>
          <w:spacing w:val="2"/>
        </w:rPr>
        <w:t>ию</w:t>
      </w:r>
      <w:r w:rsidR="00426405">
        <w:rPr>
          <w:spacing w:val="2"/>
        </w:rPr>
        <w:t>л</w:t>
      </w:r>
      <w:r w:rsidR="006D06C6">
        <w:rPr>
          <w:spacing w:val="2"/>
        </w:rPr>
        <w:t>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6E16C2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6E16C2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</w:t>
      </w:r>
      <w:r w:rsidR="0028625C">
        <w:rPr>
          <w:bCs w:val="0"/>
          <w:sz w:val="24"/>
          <w:szCs w:val="24"/>
        </w:rPr>
        <w:t xml:space="preserve">Опубликовано </w:t>
      </w:r>
      <w:r w:rsidR="00CA780B">
        <w:rPr>
          <w:bCs w:val="0"/>
          <w:sz w:val="24"/>
          <w:szCs w:val="24"/>
        </w:rPr>
        <w:t>23</w:t>
      </w:r>
      <w:r w:rsidR="0028625C">
        <w:rPr>
          <w:bCs w:val="0"/>
          <w:sz w:val="24"/>
          <w:szCs w:val="24"/>
        </w:rPr>
        <w:t>.</w:t>
      </w:r>
      <w:r w:rsidR="00C5194F">
        <w:rPr>
          <w:bCs w:val="0"/>
          <w:sz w:val="24"/>
          <w:szCs w:val="24"/>
        </w:rPr>
        <w:t>0</w:t>
      </w:r>
      <w:r w:rsidR="009E1B5D">
        <w:rPr>
          <w:bCs w:val="0"/>
          <w:sz w:val="24"/>
          <w:szCs w:val="24"/>
        </w:rPr>
        <w:t>7</w:t>
      </w:r>
      <w:r w:rsidR="005B0DD4">
        <w:rPr>
          <w:bCs w:val="0"/>
          <w:sz w:val="24"/>
          <w:szCs w:val="24"/>
        </w:rPr>
        <w:t>.</w:t>
      </w:r>
      <w:r w:rsidR="0028625C"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 w:rsidR="0028625C"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50BB"/>
    <w:rsid w:val="000770E4"/>
    <w:rsid w:val="000A1BE5"/>
    <w:rsid w:val="000A2C0C"/>
    <w:rsid w:val="000B4742"/>
    <w:rsid w:val="000B4799"/>
    <w:rsid w:val="000B4894"/>
    <w:rsid w:val="000D1E78"/>
    <w:rsid w:val="000D7C2A"/>
    <w:rsid w:val="000E07A0"/>
    <w:rsid w:val="000E2D15"/>
    <w:rsid w:val="001430DD"/>
    <w:rsid w:val="0015035C"/>
    <w:rsid w:val="0018736F"/>
    <w:rsid w:val="00195438"/>
    <w:rsid w:val="001960C0"/>
    <w:rsid w:val="001E0D54"/>
    <w:rsid w:val="002716B0"/>
    <w:rsid w:val="00275C4C"/>
    <w:rsid w:val="002839AE"/>
    <w:rsid w:val="0028625C"/>
    <w:rsid w:val="002A579C"/>
    <w:rsid w:val="002C4140"/>
    <w:rsid w:val="00323EEB"/>
    <w:rsid w:val="00334A0C"/>
    <w:rsid w:val="003A44B8"/>
    <w:rsid w:val="003A5679"/>
    <w:rsid w:val="003F05E0"/>
    <w:rsid w:val="003F5844"/>
    <w:rsid w:val="00402E3C"/>
    <w:rsid w:val="00417E50"/>
    <w:rsid w:val="00426405"/>
    <w:rsid w:val="00446D78"/>
    <w:rsid w:val="0045014C"/>
    <w:rsid w:val="004A5442"/>
    <w:rsid w:val="004B2719"/>
    <w:rsid w:val="004C730F"/>
    <w:rsid w:val="004F3152"/>
    <w:rsid w:val="00524450"/>
    <w:rsid w:val="00530810"/>
    <w:rsid w:val="005436C3"/>
    <w:rsid w:val="005639FC"/>
    <w:rsid w:val="00577A48"/>
    <w:rsid w:val="005B0DD4"/>
    <w:rsid w:val="005C62CF"/>
    <w:rsid w:val="005F2D03"/>
    <w:rsid w:val="005F319A"/>
    <w:rsid w:val="005F3C60"/>
    <w:rsid w:val="005F5986"/>
    <w:rsid w:val="0063720A"/>
    <w:rsid w:val="006716CA"/>
    <w:rsid w:val="006D06C6"/>
    <w:rsid w:val="006E16C2"/>
    <w:rsid w:val="006F63E9"/>
    <w:rsid w:val="0075147C"/>
    <w:rsid w:val="007944E0"/>
    <w:rsid w:val="007C1CAF"/>
    <w:rsid w:val="007C3564"/>
    <w:rsid w:val="007C42BC"/>
    <w:rsid w:val="0083318D"/>
    <w:rsid w:val="00866640"/>
    <w:rsid w:val="00873EC9"/>
    <w:rsid w:val="00874047"/>
    <w:rsid w:val="008806A4"/>
    <w:rsid w:val="00881605"/>
    <w:rsid w:val="008B3B15"/>
    <w:rsid w:val="008C3713"/>
    <w:rsid w:val="008E374D"/>
    <w:rsid w:val="008F343B"/>
    <w:rsid w:val="0094644D"/>
    <w:rsid w:val="009550EF"/>
    <w:rsid w:val="00964504"/>
    <w:rsid w:val="009B4EEE"/>
    <w:rsid w:val="009E1B5D"/>
    <w:rsid w:val="009F7F3A"/>
    <w:rsid w:val="00A04BB7"/>
    <w:rsid w:val="00A23395"/>
    <w:rsid w:val="00A45010"/>
    <w:rsid w:val="00A820A2"/>
    <w:rsid w:val="00AD70D8"/>
    <w:rsid w:val="00AE494E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A780B"/>
    <w:rsid w:val="00CB068F"/>
    <w:rsid w:val="00CC076B"/>
    <w:rsid w:val="00D26EAD"/>
    <w:rsid w:val="00D31DBA"/>
    <w:rsid w:val="00D5591D"/>
    <w:rsid w:val="00DB0E6C"/>
    <w:rsid w:val="00DD1DC8"/>
    <w:rsid w:val="00DD761A"/>
    <w:rsid w:val="00E149DD"/>
    <w:rsid w:val="00E76E6B"/>
    <w:rsid w:val="00EC669B"/>
    <w:rsid w:val="00F0326C"/>
    <w:rsid w:val="00F03EF6"/>
    <w:rsid w:val="00F056AE"/>
    <w:rsid w:val="00F07A13"/>
    <w:rsid w:val="00F921D3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71</cp:revision>
  <dcterms:created xsi:type="dcterms:W3CDTF">2017-03-14T04:55:00Z</dcterms:created>
  <dcterms:modified xsi:type="dcterms:W3CDTF">2024-07-23T10:48:00Z</dcterms:modified>
</cp:coreProperties>
</file>