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3D" w:rsidRDefault="007F2DC7" w:rsidP="0007143D">
      <w:pPr>
        <w:jc w:val="center"/>
        <w:rPr>
          <w:b/>
          <w:sz w:val="28"/>
          <w:szCs w:val="28"/>
        </w:rPr>
      </w:pPr>
      <w:r w:rsidRPr="0007143D">
        <w:rPr>
          <w:b/>
          <w:sz w:val="28"/>
          <w:szCs w:val="28"/>
        </w:rPr>
        <w:t>Протокол об итогах государственных закупок способом запроса ценовых предложений №</w:t>
      </w:r>
      <w:r w:rsidR="00AA7D23">
        <w:rPr>
          <w:b/>
          <w:sz w:val="28"/>
          <w:szCs w:val="28"/>
        </w:rPr>
        <w:t>1</w:t>
      </w:r>
      <w:r w:rsidR="00A5424E">
        <w:rPr>
          <w:b/>
          <w:sz w:val="28"/>
          <w:szCs w:val="28"/>
        </w:rPr>
        <w:t>9</w:t>
      </w:r>
      <w:r w:rsidR="0007143D" w:rsidRPr="0007143D">
        <w:rPr>
          <w:b/>
          <w:sz w:val="28"/>
          <w:szCs w:val="28"/>
        </w:rPr>
        <w:t xml:space="preserve"> от </w:t>
      </w:r>
      <w:r w:rsidR="00A5424E">
        <w:rPr>
          <w:b/>
          <w:sz w:val="28"/>
          <w:szCs w:val="28"/>
        </w:rPr>
        <w:t>08</w:t>
      </w:r>
      <w:r w:rsidR="0007143D" w:rsidRPr="0007143D">
        <w:rPr>
          <w:b/>
          <w:sz w:val="28"/>
          <w:szCs w:val="28"/>
        </w:rPr>
        <w:t>.0</w:t>
      </w:r>
      <w:r w:rsidR="00A5424E">
        <w:rPr>
          <w:b/>
          <w:sz w:val="28"/>
          <w:szCs w:val="28"/>
        </w:rPr>
        <w:t>8</w:t>
      </w:r>
      <w:r w:rsidR="0007143D" w:rsidRPr="0007143D">
        <w:rPr>
          <w:b/>
          <w:sz w:val="28"/>
          <w:szCs w:val="28"/>
        </w:rPr>
        <w:t>.2024 года</w:t>
      </w:r>
    </w:p>
    <w:p w:rsidR="0007143D" w:rsidRDefault="0007143D" w:rsidP="0007143D">
      <w:pPr>
        <w:rPr>
          <w:sz w:val="28"/>
          <w:szCs w:val="28"/>
        </w:rPr>
      </w:pPr>
    </w:p>
    <w:p w:rsidR="0007143D" w:rsidRPr="007B32CB" w:rsidRDefault="0007143D" w:rsidP="0007143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№</w:t>
      </w:r>
      <w:r w:rsidR="00394524">
        <w:rPr>
          <w:b/>
          <w:sz w:val="20"/>
          <w:szCs w:val="20"/>
        </w:rPr>
        <w:t xml:space="preserve">    </w:t>
      </w:r>
      <w:r w:rsidRPr="007B32CB">
        <w:rPr>
          <w:b/>
          <w:sz w:val="20"/>
          <w:szCs w:val="20"/>
        </w:rPr>
        <w:t xml:space="preserve"> закупки</w:t>
      </w:r>
    </w:p>
    <w:p w:rsidR="0007143D" w:rsidRPr="007B32CB" w:rsidRDefault="0007143D" w:rsidP="0007143D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закупки:</w:t>
      </w:r>
      <w:r w:rsidRPr="007B32CB">
        <w:rPr>
          <w:sz w:val="20"/>
          <w:szCs w:val="20"/>
        </w:rPr>
        <w:t xml:space="preserve">           </w:t>
      </w:r>
      <w:r w:rsidRPr="007B32CB">
        <w:rPr>
          <w:sz w:val="20"/>
          <w:szCs w:val="20"/>
          <w:u w:val="single"/>
        </w:rPr>
        <w:t>Лекарственные средства и изделия медицинского назначения</w:t>
      </w:r>
    </w:p>
    <w:p w:rsidR="0007143D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начала приема заявок:</w:t>
      </w:r>
      <w:r w:rsidRPr="007B32CB">
        <w:rPr>
          <w:sz w:val="20"/>
          <w:szCs w:val="20"/>
        </w:rPr>
        <w:t xml:space="preserve">   </w:t>
      </w:r>
      <w:r w:rsidR="00C8308A" w:rsidRPr="007B32CB">
        <w:rPr>
          <w:sz w:val="20"/>
          <w:szCs w:val="20"/>
        </w:rPr>
        <w:t xml:space="preserve">               </w:t>
      </w:r>
      <w:r w:rsidRPr="007B32CB">
        <w:rPr>
          <w:sz w:val="20"/>
          <w:szCs w:val="20"/>
        </w:rPr>
        <w:t>2024.0</w:t>
      </w:r>
      <w:r w:rsidR="00675964">
        <w:rPr>
          <w:sz w:val="20"/>
          <w:szCs w:val="20"/>
        </w:rPr>
        <w:t>7</w:t>
      </w:r>
      <w:r w:rsidRPr="007B32CB">
        <w:rPr>
          <w:sz w:val="20"/>
          <w:szCs w:val="20"/>
        </w:rPr>
        <w:t>.</w:t>
      </w:r>
      <w:r w:rsidR="00A5424E">
        <w:rPr>
          <w:sz w:val="20"/>
          <w:szCs w:val="20"/>
        </w:rPr>
        <w:t>24</w:t>
      </w:r>
      <w:r w:rsidRPr="007B32CB">
        <w:rPr>
          <w:sz w:val="20"/>
          <w:szCs w:val="20"/>
        </w:rPr>
        <w:t xml:space="preserve"> 09:00:00</w:t>
      </w:r>
    </w:p>
    <w:p w:rsidR="00C8308A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окончания приема заявок: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 xml:space="preserve">          </w:t>
      </w:r>
      <w:r w:rsidRPr="007B32CB">
        <w:rPr>
          <w:sz w:val="20"/>
          <w:szCs w:val="20"/>
        </w:rPr>
        <w:t>2024</w:t>
      </w:r>
      <w:r w:rsidR="00310978">
        <w:rPr>
          <w:sz w:val="20"/>
          <w:szCs w:val="20"/>
        </w:rPr>
        <w:t>.</w:t>
      </w:r>
      <w:r w:rsidRPr="007B32CB">
        <w:rPr>
          <w:sz w:val="20"/>
          <w:szCs w:val="20"/>
        </w:rPr>
        <w:t>0</w:t>
      </w:r>
      <w:r w:rsidR="00675964">
        <w:rPr>
          <w:sz w:val="20"/>
          <w:szCs w:val="20"/>
        </w:rPr>
        <w:t>7</w:t>
      </w:r>
      <w:r w:rsidRPr="007B32CB">
        <w:rPr>
          <w:sz w:val="20"/>
          <w:szCs w:val="20"/>
        </w:rPr>
        <w:t>.</w:t>
      </w:r>
      <w:r w:rsidR="00A5424E">
        <w:rPr>
          <w:sz w:val="20"/>
          <w:szCs w:val="20"/>
        </w:rPr>
        <w:t>31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>15:00:00</w:t>
      </w:r>
    </w:p>
    <w:p w:rsidR="00C45F16" w:rsidRPr="007B32CB" w:rsidRDefault="00C8308A" w:rsidP="00C8308A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организатора</w:t>
      </w:r>
      <w:proofErr w:type="gramStart"/>
      <w:r w:rsidRPr="007B32CB">
        <w:rPr>
          <w:sz w:val="20"/>
          <w:szCs w:val="20"/>
        </w:rPr>
        <w:t xml:space="preserve"> :</w:t>
      </w:r>
      <w:proofErr w:type="gramEnd"/>
      <w:r w:rsidRPr="007B32CB">
        <w:rPr>
          <w:sz w:val="20"/>
          <w:szCs w:val="20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</w:t>
      </w:r>
      <w:r w:rsidR="00870DAD" w:rsidRPr="007B32CB">
        <w:rPr>
          <w:sz w:val="20"/>
          <w:szCs w:val="20"/>
          <w:u w:val="single"/>
        </w:rPr>
        <w:t xml:space="preserve">здравоохранения  </w:t>
      </w:r>
      <w:proofErr w:type="spellStart"/>
      <w:r w:rsidR="00870DAD" w:rsidRPr="007B32CB">
        <w:rPr>
          <w:sz w:val="20"/>
          <w:szCs w:val="20"/>
          <w:u w:val="single"/>
        </w:rPr>
        <w:t>Акмолинской</w:t>
      </w:r>
      <w:proofErr w:type="spellEnd"/>
      <w:r w:rsidR="00870DAD" w:rsidRPr="007B32CB">
        <w:rPr>
          <w:sz w:val="20"/>
          <w:szCs w:val="20"/>
          <w:u w:val="single"/>
        </w:rPr>
        <w:t xml:space="preserve"> области</w:t>
      </w:r>
    </w:p>
    <w:p w:rsidR="00B93222" w:rsidRPr="007B32CB" w:rsidRDefault="00C45F16" w:rsidP="00C45F16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Адрес организатора</w:t>
      </w:r>
      <w:r w:rsidRPr="007B32CB">
        <w:rPr>
          <w:sz w:val="20"/>
          <w:szCs w:val="20"/>
        </w:rPr>
        <w:t xml:space="preserve">      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 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№1</w:t>
      </w:r>
    </w:p>
    <w:p w:rsidR="00B93222" w:rsidRPr="003E593D" w:rsidRDefault="00B93222" w:rsidP="00B93222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 w:rsidR="005B758D">
        <w:rPr>
          <w:b/>
          <w:sz w:val="20"/>
          <w:szCs w:val="20"/>
        </w:rPr>
        <w:t xml:space="preserve"> </w:t>
      </w:r>
      <w:proofErr w:type="spellStart"/>
      <w:r w:rsidR="00A5424E">
        <w:rPr>
          <w:b/>
          <w:sz w:val="20"/>
          <w:szCs w:val="20"/>
          <w:u w:val="single"/>
        </w:rPr>
        <w:t>допегит</w:t>
      </w:r>
      <w:proofErr w:type="spellEnd"/>
      <w:r w:rsidR="00A5424E">
        <w:rPr>
          <w:b/>
          <w:sz w:val="20"/>
          <w:szCs w:val="20"/>
          <w:u w:val="single"/>
        </w:rPr>
        <w:t xml:space="preserve"> 250 мг №50 </w:t>
      </w:r>
      <w:r w:rsidR="00675964">
        <w:rPr>
          <w:b/>
          <w:sz w:val="20"/>
          <w:szCs w:val="20"/>
          <w:u w:val="single"/>
        </w:rPr>
        <w:t xml:space="preserve"> 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="005B758D" w:rsidRPr="005B758D">
        <w:rPr>
          <w:sz w:val="20"/>
          <w:szCs w:val="20"/>
          <w:u w:val="single"/>
        </w:rPr>
        <w:t xml:space="preserve"> </w:t>
      </w:r>
      <w:r w:rsidR="005B758D" w:rsidRPr="007B32CB">
        <w:rPr>
          <w:sz w:val="20"/>
          <w:szCs w:val="20"/>
          <w:u w:val="single"/>
        </w:rPr>
        <w:t>ГКП на ПХВ «</w:t>
      </w:r>
      <w:proofErr w:type="spellStart"/>
      <w:r w:rsidR="005B758D" w:rsidRPr="007B32CB">
        <w:rPr>
          <w:sz w:val="20"/>
          <w:szCs w:val="20"/>
          <w:u w:val="single"/>
        </w:rPr>
        <w:t>Сандыктауская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="005B758D" w:rsidRPr="007B32CB">
        <w:rPr>
          <w:sz w:val="20"/>
          <w:szCs w:val="20"/>
          <w:u w:val="single"/>
        </w:rPr>
        <w:t>Акмолинской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области</w:t>
      </w:r>
    </w:p>
    <w:p w:rsidR="005B758D" w:rsidRDefault="00B93222" w:rsidP="00B93222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="005B758D" w:rsidRPr="007B32CB">
        <w:rPr>
          <w:sz w:val="20"/>
          <w:szCs w:val="20"/>
          <w:u w:val="single"/>
        </w:rPr>
        <w:t>Акмолинская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область, </w:t>
      </w:r>
      <w:proofErr w:type="spellStart"/>
      <w:r w:rsidR="005B758D" w:rsidRPr="007B32CB">
        <w:rPr>
          <w:sz w:val="20"/>
          <w:szCs w:val="20"/>
          <w:u w:val="single"/>
        </w:rPr>
        <w:t>Сандыктауский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B93222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 w:rsidR="005B758D">
        <w:rPr>
          <w:b/>
          <w:sz w:val="20"/>
          <w:szCs w:val="20"/>
          <w:u w:val="single"/>
        </w:rPr>
        <w:t xml:space="preserve">: </w:t>
      </w:r>
      <w:r w:rsidR="00A5424E">
        <w:rPr>
          <w:b/>
          <w:sz w:val="20"/>
          <w:szCs w:val="20"/>
          <w:u w:val="single"/>
        </w:rPr>
        <w:t>2538,5</w:t>
      </w:r>
    </w:p>
    <w:p w:rsidR="002016B5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</w:t>
      </w:r>
      <w:r w:rsidR="002016B5" w:rsidRPr="005B758D">
        <w:rPr>
          <w:b/>
          <w:sz w:val="20"/>
          <w:szCs w:val="20"/>
          <w:u w:val="single"/>
        </w:rPr>
        <w:t>:</w:t>
      </w:r>
      <w:r w:rsidR="00AB0BD5">
        <w:rPr>
          <w:b/>
          <w:sz w:val="20"/>
          <w:szCs w:val="20"/>
          <w:u w:val="single"/>
        </w:rPr>
        <w:t xml:space="preserve"> </w:t>
      </w:r>
      <w:r w:rsidR="00A5424E">
        <w:rPr>
          <w:b/>
          <w:sz w:val="20"/>
          <w:szCs w:val="20"/>
          <w:u w:val="single"/>
        </w:rPr>
        <w:t>15231</w:t>
      </w:r>
    </w:p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 w:rsidR="007B32CB"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2016B5" w:rsidTr="00AB0BD5">
        <w:tc>
          <w:tcPr>
            <w:tcW w:w="442" w:type="dxa"/>
          </w:tcPr>
          <w:p w:rsidR="002016B5" w:rsidRDefault="002016B5" w:rsidP="002016B5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2016B5" w:rsidRDefault="002016B5" w:rsidP="002016B5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2016B5" w:rsidRDefault="002016B5" w:rsidP="002016B5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2016B5" w:rsidRDefault="002016B5" w:rsidP="002016B5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2016B5" w:rsidRDefault="002016B5" w:rsidP="002016B5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2016B5" w:rsidRDefault="002016B5" w:rsidP="002016B5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2016B5" w:rsidRDefault="002016B5" w:rsidP="002016B5">
            <w:pPr>
              <w:contextualSpacing/>
            </w:pPr>
            <w:r>
              <w:t>Время подачи заявки</w:t>
            </w:r>
          </w:p>
        </w:tc>
      </w:tr>
      <w:tr w:rsidR="00F57F1B" w:rsidTr="006418C4">
        <w:trPr>
          <w:trHeight w:val="323"/>
        </w:trPr>
        <w:tc>
          <w:tcPr>
            <w:tcW w:w="442" w:type="dxa"/>
          </w:tcPr>
          <w:p w:rsidR="00F57F1B" w:rsidRDefault="00F57F1B" w:rsidP="002016B5">
            <w:pPr>
              <w:contextualSpacing/>
            </w:pPr>
          </w:p>
        </w:tc>
        <w:tc>
          <w:tcPr>
            <w:tcW w:w="2252" w:type="dxa"/>
          </w:tcPr>
          <w:p w:rsidR="00F57F1B" w:rsidRDefault="00F57F1B" w:rsidP="00F6318F">
            <w:pPr>
              <w:contextualSpacing/>
            </w:pPr>
          </w:p>
        </w:tc>
        <w:tc>
          <w:tcPr>
            <w:tcW w:w="1555" w:type="dxa"/>
          </w:tcPr>
          <w:p w:rsidR="00F57F1B" w:rsidRDefault="00F57F1B" w:rsidP="002016B5">
            <w:pPr>
              <w:contextualSpacing/>
            </w:pPr>
          </w:p>
        </w:tc>
        <w:tc>
          <w:tcPr>
            <w:tcW w:w="1362" w:type="dxa"/>
          </w:tcPr>
          <w:p w:rsidR="00F57F1B" w:rsidRDefault="00F57F1B" w:rsidP="002016B5">
            <w:pPr>
              <w:contextualSpacing/>
            </w:pPr>
          </w:p>
        </w:tc>
        <w:tc>
          <w:tcPr>
            <w:tcW w:w="1302" w:type="dxa"/>
          </w:tcPr>
          <w:p w:rsidR="00F57F1B" w:rsidRDefault="00F57F1B" w:rsidP="002016B5">
            <w:pPr>
              <w:contextualSpacing/>
            </w:pPr>
          </w:p>
        </w:tc>
        <w:tc>
          <w:tcPr>
            <w:tcW w:w="1349" w:type="dxa"/>
          </w:tcPr>
          <w:p w:rsidR="00F57F1B" w:rsidRDefault="00F57F1B" w:rsidP="00047627">
            <w:pPr>
              <w:contextualSpacing/>
            </w:pPr>
          </w:p>
        </w:tc>
        <w:tc>
          <w:tcPr>
            <w:tcW w:w="1309" w:type="dxa"/>
          </w:tcPr>
          <w:p w:rsidR="00F57F1B" w:rsidRDefault="00F57F1B" w:rsidP="002D6BB9">
            <w:pPr>
              <w:contextualSpacing/>
            </w:pPr>
          </w:p>
        </w:tc>
      </w:tr>
      <w:tr w:rsidR="00F6318F" w:rsidTr="00AB0BD5">
        <w:tc>
          <w:tcPr>
            <w:tcW w:w="442" w:type="dxa"/>
          </w:tcPr>
          <w:p w:rsidR="00F6318F" w:rsidRDefault="00F6318F" w:rsidP="002016B5">
            <w:pPr>
              <w:contextualSpacing/>
            </w:pPr>
          </w:p>
        </w:tc>
        <w:tc>
          <w:tcPr>
            <w:tcW w:w="2252" w:type="dxa"/>
          </w:tcPr>
          <w:p w:rsidR="00F6318F" w:rsidRPr="00F6318F" w:rsidRDefault="00F6318F" w:rsidP="006418C4">
            <w:pPr>
              <w:contextualSpacing/>
            </w:pPr>
          </w:p>
        </w:tc>
        <w:tc>
          <w:tcPr>
            <w:tcW w:w="1555" w:type="dxa"/>
          </w:tcPr>
          <w:p w:rsidR="00F6318F" w:rsidRPr="006418C4" w:rsidRDefault="00F6318F" w:rsidP="002016B5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F6318F" w:rsidRDefault="00F6318F" w:rsidP="002016B5">
            <w:pPr>
              <w:contextualSpacing/>
            </w:pPr>
          </w:p>
        </w:tc>
        <w:tc>
          <w:tcPr>
            <w:tcW w:w="1302" w:type="dxa"/>
          </w:tcPr>
          <w:p w:rsidR="00F6318F" w:rsidRPr="006418C4" w:rsidRDefault="00F6318F" w:rsidP="002016B5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F6318F" w:rsidRDefault="00F6318F" w:rsidP="00AB0BD5">
            <w:pPr>
              <w:contextualSpacing/>
            </w:pPr>
          </w:p>
        </w:tc>
        <w:tc>
          <w:tcPr>
            <w:tcW w:w="1309" w:type="dxa"/>
          </w:tcPr>
          <w:p w:rsidR="00F6318F" w:rsidRDefault="00F6318F" w:rsidP="002D6BB9">
            <w:pPr>
              <w:contextualSpacing/>
            </w:pPr>
          </w:p>
        </w:tc>
      </w:tr>
    </w:tbl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№1:</w:t>
      </w:r>
      <w:r w:rsidR="00D86F5C" w:rsidRPr="00D86F5C">
        <w:t xml:space="preserve"> </w:t>
      </w:r>
      <w:r w:rsidR="00A5424E">
        <w:rPr>
          <w:b/>
        </w:rPr>
        <w:t>закупка не состоялась</w:t>
      </w:r>
    </w:p>
    <w:p w:rsidR="005B758D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047627" w:rsidRPr="007B32CB" w:rsidRDefault="00047627" w:rsidP="00047627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2</w:t>
      </w:r>
    </w:p>
    <w:p w:rsidR="00A5424E" w:rsidRDefault="00047627" w:rsidP="00047627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 </w:t>
      </w:r>
      <w:proofErr w:type="spellStart"/>
      <w:r w:rsidR="00A5424E">
        <w:rPr>
          <w:b/>
          <w:sz w:val="20"/>
          <w:szCs w:val="20"/>
        </w:rPr>
        <w:t>нифедипин</w:t>
      </w:r>
      <w:proofErr w:type="spellEnd"/>
      <w:r w:rsidR="00A5424E">
        <w:rPr>
          <w:b/>
          <w:sz w:val="20"/>
          <w:szCs w:val="20"/>
        </w:rPr>
        <w:t xml:space="preserve"> 10 мг №50</w:t>
      </w:r>
    </w:p>
    <w:p w:rsidR="00047627" w:rsidRPr="007B32CB" w:rsidRDefault="00047627" w:rsidP="00047627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047627" w:rsidRDefault="00047627" w:rsidP="00047627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047627" w:rsidRPr="005B758D" w:rsidRDefault="00047627" w:rsidP="00047627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A5424E">
        <w:rPr>
          <w:b/>
          <w:sz w:val="20"/>
          <w:szCs w:val="20"/>
          <w:u w:val="single"/>
        </w:rPr>
        <w:t>243</w:t>
      </w:r>
    </w:p>
    <w:p w:rsidR="00047627" w:rsidRPr="005B758D" w:rsidRDefault="00047627" w:rsidP="00047627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A5424E">
        <w:rPr>
          <w:b/>
          <w:sz w:val="20"/>
          <w:szCs w:val="20"/>
          <w:u w:val="single"/>
        </w:rPr>
        <w:t>1458</w:t>
      </w:r>
    </w:p>
    <w:p w:rsidR="00047627" w:rsidRPr="007B32CB" w:rsidRDefault="00047627" w:rsidP="00047627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047627" w:rsidTr="005C77DA">
        <w:tc>
          <w:tcPr>
            <w:tcW w:w="442" w:type="dxa"/>
          </w:tcPr>
          <w:p w:rsidR="00047627" w:rsidRDefault="00047627" w:rsidP="005C77DA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047627" w:rsidRDefault="00047627" w:rsidP="005C77DA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047627" w:rsidRDefault="00047627" w:rsidP="005C77DA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047627" w:rsidRDefault="00047627" w:rsidP="005C77DA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047627" w:rsidRDefault="00047627" w:rsidP="005C77DA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047627" w:rsidRDefault="00047627" w:rsidP="005C77DA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047627" w:rsidRDefault="00047627" w:rsidP="005C77DA">
            <w:pPr>
              <w:contextualSpacing/>
            </w:pPr>
            <w:r>
              <w:t>Время подачи заявки</w:t>
            </w:r>
          </w:p>
        </w:tc>
      </w:tr>
      <w:tr w:rsidR="00047627" w:rsidTr="005C77DA">
        <w:trPr>
          <w:trHeight w:val="323"/>
        </w:trPr>
        <w:tc>
          <w:tcPr>
            <w:tcW w:w="442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2252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1555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1362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1302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1349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1309" w:type="dxa"/>
          </w:tcPr>
          <w:p w:rsidR="00047627" w:rsidRDefault="00047627" w:rsidP="005C77DA">
            <w:pPr>
              <w:contextualSpacing/>
            </w:pPr>
          </w:p>
        </w:tc>
      </w:tr>
      <w:tr w:rsidR="00047627" w:rsidTr="005C77DA">
        <w:tc>
          <w:tcPr>
            <w:tcW w:w="442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2252" w:type="dxa"/>
          </w:tcPr>
          <w:p w:rsidR="00047627" w:rsidRPr="00F6318F" w:rsidRDefault="00047627" w:rsidP="005C77DA">
            <w:pPr>
              <w:contextualSpacing/>
            </w:pPr>
          </w:p>
        </w:tc>
        <w:tc>
          <w:tcPr>
            <w:tcW w:w="1555" w:type="dxa"/>
          </w:tcPr>
          <w:p w:rsidR="00047627" w:rsidRPr="006418C4" w:rsidRDefault="00047627" w:rsidP="005C77DA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1302" w:type="dxa"/>
          </w:tcPr>
          <w:p w:rsidR="00047627" w:rsidRPr="006418C4" w:rsidRDefault="00047627" w:rsidP="005C77DA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047627" w:rsidRDefault="00047627" w:rsidP="005C77DA">
            <w:pPr>
              <w:contextualSpacing/>
            </w:pPr>
          </w:p>
        </w:tc>
        <w:tc>
          <w:tcPr>
            <w:tcW w:w="1309" w:type="dxa"/>
          </w:tcPr>
          <w:p w:rsidR="00047627" w:rsidRDefault="00047627" w:rsidP="005C77DA">
            <w:pPr>
              <w:contextualSpacing/>
            </w:pPr>
          </w:p>
        </w:tc>
      </w:tr>
    </w:tbl>
    <w:p w:rsidR="00047627" w:rsidRPr="007B32CB" w:rsidRDefault="00047627" w:rsidP="00047627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</w:t>
      </w:r>
      <w:r w:rsidR="00A5424E">
        <w:rPr>
          <w:sz w:val="20"/>
          <w:szCs w:val="20"/>
        </w:rPr>
        <w:t>2</w:t>
      </w:r>
      <w:r w:rsidRPr="007B32CB">
        <w:rPr>
          <w:sz w:val="20"/>
          <w:szCs w:val="20"/>
        </w:rPr>
        <w:t>:</w:t>
      </w:r>
      <w:r w:rsidRPr="00D86F5C">
        <w:t xml:space="preserve"> </w:t>
      </w:r>
      <w:r w:rsidR="00A5424E">
        <w:rPr>
          <w:b/>
        </w:rPr>
        <w:t>закупка не состоялась</w:t>
      </w:r>
    </w:p>
    <w:p w:rsidR="00964934" w:rsidRDefault="00047627" w:rsidP="00047627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0F37E8" w:rsidRPr="007B32CB" w:rsidRDefault="000F37E8" w:rsidP="000F37E8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3</w:t>
      </w:r>
    </w:p>
    <w:p w:rsidR="000F37E8" w:rsidRDefault="000F37E8" w:rsidP="000F37E8">
      <w:pPr>
        <w:contextualSpacing/>
        <w:rPr>
          <w:b/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лота</w:t>
      </w:r>
      <w:r>
        <w:rPr>
          <w:b/>
          <w:sz w:val="20"/>
          <w:szCs w:val="20"/>
        </w:rPr>
        <w:t xml:space="preserve"> </w:t>
      </w:r>
      <w:proofErr w:type="spellStart"/>
      <w:r w:rsidR="00A5424E">
        <w:rPr>
          <w:b/>
          <w:sz w:val="20"/>
          <w:szCs w:val="20"/>
        </w:rPr>
        <w:t>эгилок</w:t>
      </w:r>
      <w:proofErr w:type="spellEnd"/>
      <w:r w:rsidR="00A5424E">
        <w:rPr>
          <w:b/>
          <w:sz w:val="20"/>
          <w:szCs w:val="20"/>
        </w:rPr>
        <w:t xml:space="preserve"> 25 мг №60</w:t>
      </w:r>
    </w:p>
    <w:p w:rsidR="000F37E8" w:rsidRPr="007B32CB" w:rsidRDefault="000F37E8" w:rsidP="000F37E8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Pr="005B758D">
        <w:rPr>
          <w:sz w:val="20"/>
          <w:szCs w:val="20"/>
          <w:u w:val="single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Pr="007B32CB">
        <w:rPr>
          <w:sz w:val="20"/>
          <w:szCs w:val="20"/>
          <w:u w:val="single"/>
        </w:rPr>
        <w:t>Акмолинской</w:t>
      </w:r>
      <w:proofErr w:type="spellEnd"/>
      <w:r w:rsidRPr="007B32CB">
        <w:rPr>
          <w:sz w:val="20"/>
          <w:szCs w:val="20"/>
          <w:u w:val="single"/>
        </w:rPr>
        <w:t xml:space="preserve"> области</w:t>
      </w:r>
    </w:p>
    <w:p w:rsidR="000F37E8" w:rsidRDefault="000F37E8" w:rsidP="000F37E8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lastRenderedPageBreak/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0F37E8" w:rsidRPr="005B758D" w:rsidRDefault="000F37E8" w:rsidP="000F37E8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>
        <w:rPr>
          <w:b/>
          <w:sz w:val="20"/>
          <w:szCs w:val="20"/>
          <w:u w:val="single"/>
        </w:rPr>
        <w:t xml:space="preserve">: </w:t>
      </w:r>
      <w:r w:rsidR="00A5424E">
        <w:rPr>
          <w:b/>
          <w:sz w:val="20"/>
          <w:szCs w:val="20"/>
          <w:u w:val="single"/>
        </w:rPr>
        <w:t>1154,4</w:t>
      </w:r>
    </w:p>
    <w:p w:rsidR="000F37E8" w:rsidRPr="005B758D" w:rsidRDefault="000F37E8" w:rsidP="000F37E8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тенге:</w:t>
      </w:r>
      <w:r>
        <w:rPr>
          <w:b/>
          <w:sz w:val="20"/>
          <w:szCs w:val="20"/>
          <w:u w:val="single"/>
        </w:rPr>
        <w:t xml:space="preserve"> </w:t>
      </w:r>
      <w:r w:rsidR="00A5424E">
        <w:rPr>
          <w:b/>
          <w:sz w:val="20"/>
          <w:szCs w:val="20"/>
          <w:u w:val="single"/>
        </w:rPr>
        <w:t>5772</w:t>
      </w:r>
    </w:p>
    <w:p w:rsidR="000F37E8" w:rsidRPr="007B32CB" w:rsidRDefault="000F37E8" w:rsidP="000F37E8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0F37E8" w:rsidTr="005C77DA">
        <w:tc>
          <w:tcPr>
            <w:tcW w:w="442" w:type="dxa"/>
          </w:tcPr>
          <w:p w:rsidR="000F37E8" w:rsidRDefault="000F37E8" w:rsidP="005C77DA">
            <w:pPr>
              <w:contextualSpacing/>
            </w:pPr>
            <w:r>
              <w:t>№</w:t>
            </w:r>
          </w:p>
        </w:tc>
        <w:tc>
          <w:tcPr>
            <w:tcW w:w="2252" w:type="dxa"/>
          </w:tcPr>
          <w:p w:rsidR="000F37E8" w:rsidRDefault="000F37E8" w:rsidP="005C77DA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555" w:type="dxa"/>
          </w:tcPr>
          <w:p w:rsidR="000F37E8" w:rsidRDefault="000F37E8" w:rsidP="005C77DA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2" w:type="dxa"/>
          </w:tcPr>
          <w:p w:rsidR="000F37E8" w:rsidRDefault="000F37E8" w:rsidP="005C77DA">
            <w:pPr>
              <w:contextualSpacing/>
            </w:pPr>
            <w:r>
              <w:t>Цена поставщика</w:t>
            </w:r>
          </w:p>
        </w:tc>
        <w:tc>
          <w:tcPr>
            <w:tcW w:w="1302" w:type="dxa"/>
          </w:tcPr>
          <w:p w:rsidR="000F37E8" w:rsidRDefault="000F37E8" w:rsidP="005C77DA">
            <w:pPr>
              <w:contextualSpacing/>
            </w:pPr>
            <w:r>
              <w:t>Общая сумма</w:t>
            </w:r>
          </w:p>
        </w:tc>
        <w:tc>
          <w:tcPr>
            <w:tcW w:w="1349" w:type="dxa"/>
          </w:tcPr>
          <w:p w:rsidR="000F37E8" w:rsidRDefault="000F37E8" w:rsidP="005C77DA">
            <w:pPr>
              <w:contextualSpacing/>
            </w:pPr>
            <w:r>
              <w:t>дата</w:t>
            </w:r>
          </w:p>
        </w:tc>
        <w:tc>
          <w:tcPr>
            <w:tcW w:w="1309" w:type="dxa"/>
          </w:tcPr>
          <w:p w:rsidR="000F37E8" w:rsidRDefault="000F37E8" w:rsidP="005C77DA">
            <w:pPr>
              <w:contextualSpacing/>
            </w:pPr>
            <w:r>
              <w:t>Время подачи заявки</w:t>
            </w:r>
          </w:p>
        </w:tc>
      </w:tr>
      <w:tr w:rsidR="000F37E8" w:rsidTr="005C77DA">
        <w:trPr>
          <w:trHeight w:val="323"/>
        </w:trPr>
        <w:tc>
          <w:tcPr>
            <w:tcW w:w="442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2252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1555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1362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1302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1349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1309" w:type="dxa"/>
          </w:tcPr>
          <w:p w:rsidR="000F37E8" w:rsidRDefault="000F37E8" w:rsidP="005C77DA">
            <w:pPr>
              <w:contextualSpacing/>
            </w:pPr>
          </w:p>
        </w:tc>
      </w:tr>
      <w:tr w:rsidR="000F37E8" w:rsidTr="005C77DA">
        <w:tc>
          <w:tcPr>
            <w:tcW w:w="442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2252" w:type="dxa"/>
          </w:tcPr>
          <w:p w:rsidR="000F37E8" w:rsidRPr="00F6318F" w:rsidRDefault="000F37E8" w:rsidP="005C77DA">
            <w:pPr>
              <w:contextualSpacing/>
            </w:pPr>
          </w:p>
        </w:tc>
        <w:tc>
          <w:tcPr>
            <w:tcW w:w="1555" w:type="dxa"/>
          </w:tcPr>
          <w:p w:rsidR="000F37E8" w:rsidRPr="006418C4" w:rsidRDefault="000F37E8" w:rsidP="005C77DA">
            <w:pPr>
              <w:contextualSpacing/>
              <w:rPr>
                <w:lang w:val="en-US"/>
              </w:rPr>
            </w:pPr>
          </w:p>
        </w:tc>
        <w:tc>
          <w:tcPr>
            <w:tcW w:w="1362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1302" w:type="dxa"/>
          </w:tcPr>
          <w:p w:rsidR="000F37E8" w:rsidRPr="006418C4" w:rsidRDefault="000F37E8" w:rsidP="005C77DA">
            <w:pPr>
              <w:contextualSpacing/>
              <w:rPr>
                <w:lang w:val="en-US"/>
              </w:rPr>
            </w:pPr>
          </w:p>
        </w:tc>
        <w:tc>
          <w:tcPr>
            <w:tcW w:w="1349" w:type="dxa"/>
          </w:tcPr>
          <w:p w:rsidR="000F37E8" w:rsidRDefault="000F37E8" w:rsidP="005C77DA">
            <w:pPr>
              <w:contextualSpacing/>
            </w:pPr>
          </w:p>
        </w:tc>
        <w:tc>
          <w:tcPr>
            <w:tcW w:w="1309" w:type="dxa"/>
          </w:tcPr>
          <w:p w:rsidR="000F37E8" w:rsidRDefault="000F37E8" w:rsidP="005C77DA">
            <w:pPr>
              <w:contextualSpacing/>
            </w:pPr>
          </w:p>
        </w:tc>
      </w:tr>
    </w:tbl>
    <w:p w:rsidR="00A5424E" w:rsidRDefault="000F37E8" w:rsidP="000F37E8">
      <w:pPr>
        <w:contextualSpacing/>
      </w:pPr>
      <w:r w:rsidRPr="007B32CB">
        <w:rPr>
          <w:sz w:val="20"/>
          <w:szCs w:val="20"/>
        </w:rPr>
        <w:t>Победитель закупки по лоту №</w:t>
      </w:r>
      <w:r w:rsidR="00A5424E">
        <w:rPr>
          <w:sz w:val="20"/>
          <w:szCs w:val="20"/>
        </w:rPr>
        <w:t>3</w:t>
      </w:r>
      <w:r w:rsidRPr="007B32CB">
        <w:rPr>
          <w:sz w:val="20"/>
          <w:szCs w:val="20"/>
        </w:rPr>
        <w:t>:</w:t>
      </w:r>
      <w:r w:rsidRPr="00D86F5C">
        <w:t xml:space="preserve"> </w:t>
      </w:r>
      <w:r w:rsidR="00A5424E" w:rsidRPr="00A5424E">
        <w:rPr>
          <w:b/>
        </w:rPr>
        <w:t>закупка не со</w:t>
      </w:r>
      <w:r w:rsidR="00A5424E">
        <w:rPr>
          <w:b/>
        </w:rPr>
        <w:t>с</w:t>
      </w:r>
      <w:r w:rsidR="00A5424E" w:rsidRPr="00A5424E">
        <w:rPr>
          <w:b/>
        </w:rPr>
        <w:t>тоялась</w:t>
      </w:r>
    </w:p>
    <w:p w:rsidR="000F37E8" w:rsidRDefault="000F37E8" w:rsidP="000F37E8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0F37E8" w:rsidRDefault="000F37E8" w:rsidP="00047627">
      <w:pPr>
        <w:contextualSpacing/>
        <w:rPr>
          <w:sz w:val="20"/>
          <w:szCs w:val="20"/>
        </w:rPr>
      </w:pP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Комиссия в составе:</w:t>
      </w: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Председатель</w:t>
      </w:r>
      <w:proofErr w:type="gramStart"/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"/>
        <w:gridCol w:w="6790"/>
        <w:gridCol w:w="217"/>
      </w:tblGrid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Пиденко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В.А.-  зам</w:t>
            </w:r>
            <w:proofErr w:type="gram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 -  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310978" w:rsidP="005178A4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Д.Т.- главная медсестра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Кульмаканова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C2F" w:rsidRPr="00ED0C2F" w:rsidRDefault="00ED0C2F" w:rsidP="00ED0C2F">
      <w:pPr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ED0C2F">
        <w:rPr>
          <w:rFonts w:ascii="Times New Roman" w:hAnsi="Times New Roman" w:cs="Times New Roman"/>
          <w:sz w:val="20"/>
          <w:szCs w:val="20"/>
        </w:rPr>
        <w:t xml:space="preserve">4.     </w:t>
      </w:r>
      <w:proofErr w:type="spellStart"/>
      <w:r w:rsidRPr="00ED0C2F">
        <w:rPr>
          <w:rFonts w:ascii="Times New Roman" w:hAnsi="Times New Roman" w:cs="Times New Roman"/>
          <w:sz w:val="20"/>
          <w:szCs w:val="20"/>
        </w:rPr>
        <w:t>Самусейко</w:t>
      </w:r>
      <w:proofErr w:type="spellEnd"/>
      <w:r w:rsidRPr="00ED0C2F">
        <w:rPr>
          <w:rFonts w:ascii="Times New Roman" w:hAnsi="Times New Roman" w:cs="Times New Roman"/>
          <w:sz w:val="20"/>
          <w:szCs w:val="20"/>
        </w:rPr>
        <w:t xml:space="preserve"> Н.А. – специалист по государственным закупкам</w:t>
      </w:r>
    </w:p>
    <w:p w:rsidR="002016B5" w:rsidRPr="005B758D" w:rsidRDefault="002016B5" w:rsidP="00ED0C2F">
      <w:pPr>
        <w:spacing w:after="100" w:afterAutospacing="1"/>
        <w:contextualSpacing/>
        <w:rPr>
          <w:sz w:val="20"/>
          <w:szCs w:val="20"/>
        </w:rPr>
      </w:pPr>
    </w:p>
    <w:sectPr w:rsidR="002016B5" w:rsidRPr="005B758D" w:rsidSect="001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C7"/>
    <w:rsid w:val="0002144E"/>
    <w:rsid w:val="00047627"/>
    <w:rsid w:val="0007143D"/>
    <w:rsid w:val="000D2A63"/>
    <w:rsid w:val="000F37E8"/>
    <w:rsid w:val="00126105"/>
    <w:rsid w:val="001414E8"/>
    <w:rsid w:val="0019678D"/>
    <w:rsid w:val="002016B5"/>
    <w:rsid w:val="00222E58"/>
    <w:rsid w:val="002564C3"/>
    <w:rsid w:val="002D6BB9"/>
    <w:rsid w:val="00310978"/>
    <w:rsid w:val="00320132"/>
    <w:rsid w:val="00324A3E"/>
    <w:rsid w:val="00331BBE"/>
    <w:rsid w:val="00380643"/>
    <w:rsid w:val="00394524"/>
    <w:rsid w:val="003C5ED0"/>
    <w:rsid w:val="003E593D"/>
    <w:rsid w:val="00501C7E"/>
    <w:rsid w:val="005178A4"/>
    <w:rsid w:val="005B758D"/>
    <w:rsid w:val="005C1252"/>
    <w:rsid w:val="006259A2"/>
    <w:rsid w:val="006418C4"/>
    <w:rsid w:val="00675964"/>
    <w:rsid w:val="006C0A8D"/>
    <w:rsid w:val="006D0A41"/>
    <w:rsid w:val="006F01BB"/>
    <w:rsid w:val="006F4FCD"/>
    <w:rsid w:val="007606D3"/>
    <w:rsid w:val="007B32CB"/>
    <w:rsid w:val="007F2DC7"/>
    <w:rsid w:val="007F5EB5"/>
    <w:rsid w:val="00832858"/>
    <w:rsid w:val="00870DAD"/>
    <w:rsid w:val="00870DF1"/>
    <w:rsid w:val="008870EE"/>
    <w:rsid w:val="008E1670"/>
    <w:rsid w:val="00964934"/>
    <w:rsid w:val="009A2605"/>
    <w:rsid w:val="00A5424E"/>
    <w:rsid w:val="00A762CC"/>
    <w:rsid w:val="00AA355B"/>
    <w:rsid w:val="00AA7D23"/>
    <w:rsid w:val="00AB0BD5"/>
    <w:rsid w:val="00B016B7"/>
    <w:rsid w:val="00B93222"/>
    <w:rsid w:val="00C3229E"/>
    <w:rsid w:val="00C45F16"/>
    <w:rsid w:val="00C72D96"/>
    <w:rsid w:val="00C8308A"/>
    <w:rsid w:val="00CD5D24"/>
    <w:rsid w:val="00D324DA"/>
    <w:rsid w:val="00D852FA"/>
    <w:rsid w:val="00D86F5C"/>
    <w:rsid w:val="00DA0F35"/>
    <w:rsid w:val="00E76429"/>
    <w:rsid w:val="00E80B45"/>
    <w:rsid w:val="00EC2F5B"/>
    <w:rsid w:val="00ED0C2F"/>
    <w:rsid w:val="00F04423"/>
    <w:rsid w:val="00F524B2"/>
    <w:rsid w:val="00F57F1B"/>
    <w:rsid w:val="00F6318F"/>
    <w:rsid w:val="00F66140"/>
    <w:rsid w:val="00FF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2F79-FE40-45AE-8002-30BF6A92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самусейко</dc:creator>
  <cp:keywords/>
  <dc:description/>
  <cp:lastModifiedBy>самусейко</cp:lastModifiedBy>
  <cp:revision>31</cp:revision>
  <cp:lastPrinted>2024-05-17T07:15:00Z</cp:lastPrinted>
  <dcterms:created xsi:type="dcterms:W3CDTF">2024-02-20T03:01:00Z</dcterms:created>
  <dcterms:modified xsi:type="dcterms:W3CDTF">2024-08-08T11:58:00Z</dcterms:modified>
</cp:coreProperties>
</file>